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ACB" w14:textId="77777777" w:rsidR="00431C65" w:rsidRDefault="00431C65" w:rsidP="00431C65">
      <w:pPr>
        <w:pStyle w:val="Heading2"/>
      </w:pPr>
      <w:bookmarkStart w:id="0" w:name="_Toc368331315"/>
      <w:bookmarkStart w:id="1" w:name="_Toc487726084"/>
      <w:bookmarkStart w:id="2" w:name="_Toc508109636"/>
      <w:r w:rsidRPr="000C76CE">
        <w:t>Public Information Sheet</w:t>
      </w:r>
      <w:bookmarkEnd w:id="0"/>
      <w:bookmarkEnd w:id="1"/>
      <w:bookmarkEnd w:id="2"/>
    </w:p>
    <w:p w14:paraId="34ED0273" w14:textId="14A3FB6B" w:rsidR="00431C65" w:rsidRDefault="00046001" w:rsidP="00046001">
      <w:pPr>
        <w:spacing w:after="0"/>
        <w:ind w:left="5040" w:firstLine="720"/>
        <w:jc w:val="center"/>
      </w:pPr>
      <w:r>
        <w:t>Academic Year: 20</w:t>
      </w:r>
      <w:r w:rsidR="00214F52">
        <w:t>22-23</w:t>
      </w:r>
    </w:p>
    <w:p w14:paraId="36911A1D" w14:textId="77777777" w:rsidR="003328B9" w:rsidRDefault="003328B9" w:rsidP="00431C65">
      <w:pPr>
        <w:spacing w:after="0"/>
      </w:pPr>
    </w:p>
    <w:p w14:paraId="77A39636" w14:textId="6D303227" w:rsidR="00431C65" w:rsidRDefault="00431C65" w:rsidP="00431C65">
      <w:pPr>
        <w:spacing w:after="0"/>
        <w:rPr>
          <w:b/>
          <w:i/>
        </w:rPr>
      </w:pPr>
      <w:r w:rsidRPr="000452F4">
        <w:rPr>
          <w:b/>
          <w:i/>
        </w:rPr>
        <w:t>Enrollment/Retention/Graduation Information</w:t>
      </w:r>
      <w:r w:rsidR="008055BA">
        <w:rPr>
          <w:b/>
          <w:i/>
        </w:rPr>
        <w:t xml:space="preserve"> (Fall </w:t>
      </w:r>
      <w:r w:rsidR="00214F52">
        <w:rPr>
          <w:b/>
          <w:i/>
        </w:rPr>
        <w:t>2022-2023</w:t>
      </w:r>
      <w:r w:rsidR="008055BA">
        <w:rPr>
          <w:b/>
          <w:i/>
        </w:rPr>
        <w:t>)</w:t>
      </w:r>
    </w:p>
    <w:p w14:paraId="59C680FD" w14:textId="77777777" w:rsidR="003328B9" w:rsidRPr="000452F4" w:rsidRDefault="003328B9" w:rsidP="00431C65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990"/>
        <w:gridCol w:w="1080"/>
        <w:gridCol w:w="1170"/>
        <w:gridCol w:w="1154"/>
      </w:tblGrid>
      <w:tr w:rsidR="00DD5B42" w14:paraId="69978A39" w14:textId="77777777" w:rsidTr="00591A11">
        <w:tc>
          <w:tcPr>
            <w:tcW w:w="4428" w:type="dxa"/>
          </w:tcPr>
          <w:p w14:paraId="2F4F4EFD" w14:textId="77777777" w:rsidR="00DD5B42" w:rsidRDefault="00DD5B42" w:rsidP="00DD5B42">
            <w:r>
              <w:t>Headcount (total number of students)</w:t>
            </w:r>
          </w:p>
        </w:tc>
        <w:tc>
          <w:tcPr>
            <w:tcW w:w="4394" w:type="dxa"/>
            <w:gridSpan w:val="4"/>
          </w:tcPr>
          <w:p w14:paraId="3DC608C2" w14:textId="6AC2518C" w:rsidR="00DD5B42" w:rsidRDefault="00EC77CB" w:rsidP="00DD5B42">
            <w:pPr>
              <w:jc w:val="center"/>
            </w:pPr>
            <w:r>
              <w:t>223</w:t>
            </w:r>
            <w:r w:rsidR="00DD5B42">
              <w:t xml:space="preserve"> (Undergraduate)</w:t>
            </w:r>
          </w:p>
          <w:p w14:paraId="10961B07" w14:textId="575DBAFA" w:rsidR="00DD5B42" w:rsidRDefault="00EC77CB" w:rsidP="00DD5B42">
            <w:pPr>
              <w:jc w:val="center"/>
            </w:pPr>
            <w:r>
              <w:t>251</w:t>
            </w:r>
            <w:r w:rsidR="00DD5B42">
              <w:t xml:space="preserve"> (Undergraduate and Graduate)</w:t>
            </w:r>
          </w:p>
        </w:tc>
      </w:tr>
      <w:tr w:rsidR="00DD5B42" w14:paraId="02881D0A" w14:textId="77777777" w:rsidTr="003328B9">
        <w:tc>
          <w:tcPr>
            <w:tcW w:w="4428" w:type="dxa"/>
          </w:tcPr>
          <w:p w14:paraId="759E8CC3" w14:textId="77777777" w:rsidR="00DD5B42" w:rsidRDefault="00DD5B42" w:rsidP="00DD5B42">
            <w:r>
              <w:t>Percent of full-time students (full-time students divided by total number of students)</w:t>
            </w:r>
          </w:p>
        </w:tc>
        <w:tc>
          <w:tcPr>
            <w:tcW w:w="4394" w:type="dxa"/>
            <w:gridSpan w:val="4"/>
            <w:vAlign w:val="center"/>
          </w:tcPr>
          <w:p w14:paraId="17E9E1CC" w14:textId="3A139B55" w:rsidR="00DD5B42" w:rsidRDefault="00DD5B42" w:rsidP="00DD5B42">
            <w:pPr>
              <w:jc w:val="center"/>
            </w:pPr>
            <w:r w:rsidRPr="008240B2">
              <w:t>9</w:t>
            </w:r>
            <w:r w:rsidR="00A068A9">
              <w:t>3</w:t>
            </w:r>
            <w:r w:rsidRPr="008240B2">
              <w:t>%</w:t>
            </w:r>
            <w:r>
              <w:t xml:space="preserve"> (</w:t>
            </w:r>
            <w:r w:rsidR="00A068A9">
              <w:t>208</w:t>
            </w:r>
            <w:r>
              <w:t>/</w:t>
            </w:r>
            <w:r w:rsidR="00A068A9">
              <w:t>223</w:t>
            </w:r>
            <w:r>
              <w:t>)</w:t>
            </w:r>
          </w:p>
        </w:tc>
      </w:tr>
      <w:tr w:rsidR="00DD5B42" w14:paraId="5AB7271C" w14:textId="77777777" w:rsidTr="00591A11">
        <w:tc>
          <w:tcPr>
            <w:tcW w:w="4428" w:type="dxa"/>
          </w:tcPr>
          <w:p w14:paraId="3ACEB883" w14:textId="77777777" w:rsidR="00DD5B42" w:rsidRDefault="00DD5B42" w:rsidP="00DD5B42">
            <w:r>
              <w:t>Tuition (cost per credit)</w:t>
            </w:r>
          </w:p>
        </w:tc>
        <w:tc>
          <w:tcPr>
            <w:tcW w:w="4394" w:type="dxa"/>
            <w:gridSpan w:val="4"/>
          </w:tcPr>
          <w:p w14:paraId="12508D5A" w14:textId="4EB6E4B7" w:rsidR="00DD5B42" w:rsidRDefault="00A068A9" w:rsidP="00DD5B42">
            <w:pPr>
              <w:jc w:val="center"/>
            </w:pPr>
            <w:r>
              <w:t xml:space="preserve">Residential: </w:t>
            </w:r>
            <w:r w:rsidR="00DD5B42">
              <w:t>$</w:t>
            </w:r>
            <w:r>
              <w:t>7,160</w:t>
            </w:r>
            <w:r w:rsidR="00DD5B42">
              <w:t xml:space="preserve"> per semester</w:t>
            </w:r>
            <w:r>
              <w:t xml:space="preserve"> - </w:t>
            </w:r>
            <w:r w:rsidR="00DD5B42" w:rsidRPr="00DE718A">
              <w:t>We have banded tuition and there is no differentiation in cost based on credits</w:t>
            </w:r>
            <w:r w:rsidR="00DD5B42">
              <w:t>.</w:t>
            </w:r>
          </w:p>
          <w:p w14:paraId="2789560E" w14:textId="0312F1DC" w:rsidR="00A068A9" w:rsidRDefault="00A068A9" w:rsidP="00DD5B42">
            <w:pPr>
              <w:jc w:val="center"/>
            </w:pPr>
            <w:r>
              <w:t>Online: $350 per credit, $4,200 for 12 or more credits</w:t>
            </w:r>
          </w:p>
        </w:tc>
      </w:tr>
      <w:tr w:rsidR="00DD5B42" w14:paraId="79444DAA" w14:textId="77777777" w:rsidTr="003328B9">
        <w:tc>
          <w:tcPr>
            <w:tcW w:w="4428" w:type="dxa"/>
          </w:tcPr>
          <w:p w14:paraId="3F6436B6" w14:textId="77777777" w:rsidR="00DD5B42" w:rsidRDefault="00DD5B42" w:rsidP="00DD5B42">
            <w:r>
              <w:t>Percent of students receiving financial assistance (e.g., scholarships, work-study)</w:t>
            </w:r>
          </w:p>
        </w:tc>
        <w:tc>
          <w:tcPr>
            <w:tcW w:w="4394" w:type="dxa"/>
            <w:gridSpan w:val="4"/>
            <w:vAlign w:val="center"/>
          </w:tcPr>
          <w:p w14:paraId="0293C048" w14:textId="3A78EFB4" w:rsidR="00DD5B42" w:rsidRDefault="00DD5B42" w:rsidP="00FB14C9">
            <w:pPr>
              <w:jc w:val="center"/>
            </w:pPr>
            <w:r w:rsidRPr="00EF1C56">
              <w:t>9</w:t>
            </w:r>
            <w:r w:rsidR="00FB14C9">
              <w:t>5</w:t>
            </w:r>
            <w:r w:rsidRPr="00EF1C56">
              <w:t>%</w:t>
            </w:r>
            <w:r w:rsidR="00FB14C9">
              <w:t xml:space="preserve"> (212/223)</w:t>
            </w:r>
            <w:r>
              <w:t xml:space="preserve"> </w:t>
            </w:r>
          </w:p>
        </w:tc>
      </w:tr>
      <w:tr w:rsidR="00DD5B42" w14:paraId="6F966BC5" w14:textId="77777777" w:rsidTr="00591A11">
        <w:tc>
          <w:tcPr>
            <w:tcW w:w="4428" w:type="dxa"/>
          </w:tcPr>
          <w:p w14:paraId="4C6465D9" w14:textId="77777777" w:rsidR="00DD5B42" w:rsidRDefault="00DD5B42" w:rsidP="00DD5B42">
            <w:r>
              <w:t xml:space="preserve">Retention Rate (returning students divided by number of </w:t>
            </w:r>
            <w:proofErr w:type="gramStart"/>
            <w:r>
              <w:t>potential</w:t>
            </w:r>
            <w:proofErr w:type="gramEnd"/>
            <w:r>
              <w:t xml:space="preserve"> returning students)</w:t>
            </w:r>
          </w:p>
        </w:tc>
        <w:tc>
          <w:tcPr>
            <w:tcW w:w="4394" w:type="dxa"/>
            <w:gridSpan w:val="4"/>
          </w:tcPr>
          <w:p w14:paraId="593BEA3B" w14:textId="258EAB78" w:rsidR="00DD5B42" w:rsidRPr="006E03A3" w:rsidRDefault="007C09E4" w:rsidP="00DD5B42">
            <w:pPr>
              <w:jc w:val="center"/>
            </w:pPr>
            <w:r>
              <w:t>56</w:t>
            </w:r>
            <w:r w:rsidR="00DD5B42" w:rsidRPr="006E03A3">
              <w:t>%</w:t>
            </w:r>
          </w:p>
          <w:p w14:paraId="42346869" w14:textId="6714C43C" w:rsidR="00DD5B42" w:rsidRDefault="00DD5B42" w:rsidP="00DD5B42">
            <w:pPr>
              <w:jc w:val="center"/>
            </w:pPr>
            <w:r w:rsidRPr="006E03A3">
              <w:t xml:space="preserve">(There were </w:t>
            </w:r>
            <w:r w:rsidR="007C09E4">
              <w:t>259</w:t>
            </w:r>
            <w:r w:rsidRPr="006E03A3">
              <w:t xml:space="preserve"> freshmen-junior students enrolled in 20</w:t>
            </w:r>
            <w:r w:rsidR="007C09E4">
              <w:t>21-22</w:t>
            </w:r>
            <w:r w:rsidRPr="006E03A3">
              <w:t xml:space="preserve"> and </w:t>
            </w:r>
            <w:r w:rsidR="007C09E4">
              <w:t>144</w:t>
            </w:r>
            <w:r w:rsidRPr="006E03A3">
              <w:t xml:space="preserve"> sophomore-senior students enrolled in fall 20</w:t>
            </w:r>
            <w:r w:rsidR="007C09E4">
              <w:t>22</w:t>
            </w:r>
            <w:r w:rsidRPr="006E03A3">
              <w:t>)</w:t>
            </w:r>
          </w:p>
        </w:tc>
      </w:tr>
      <w:tr w:rsidR="003328B9" w14:paraId="35447620" w14:textId="77777777" w:rsidTr="003328B9">
        <w:trPr>
          <w:trHeight w:val="402"/>
        </w:trPr>
        <w:tc>
          <w:tcPr>
            <w:tcW w:w="4428" w:type="dxa"/>
            <w:vMerge w:val="restart"/>
          </w:tcPr>
          <w:p w14:paraId="78B15D6C" w14:textId="77777777" w:rsidR="003328B9" w:rsidRDefault="003328B9" w:rsidP="00990E2C">
            <w:r>
              <w:t>Percent of students who completed their program within 150% of full-time studies (e.g., for bachelor students, the number of graduates this year divided by the number of students who began their bachelors six years ago)</w:t>
            </w:r>
          </w:p>
        </w:tc>
        <w:tc>
          <w:tcPr>
            <w:tcW w:w="990" w:type="dxa"/>
            <w:vAlign w:val="center"/>
          </w:tcPr>
          <w:p w14:paraId="4759F7FD" w14:textId="77777777" w:rsidR="003328B9" w:rsidRPr="003328B9" w:rsidRDefault="003328B9" w:rsidP="003328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8B7335" w14:textId="77777777" w:rsidR="003328B9" w:rsidRPr="003328B9" w:rsidRDefault="003328B9" w:rsidP="003328B9">
            <w:pPr>
              <w:jc w:val="center"/>
              <w:rPr>
                <w:rFonts w:ascii="Calibri" w:eastAsiaTheme="minorHAnsi" w:hAnsi="Calibri"/>
                <w:b/>
                <w:bCs/>
                <w:sz w:val="16"/>
              </w:rPr>
            </w:pPr>
            <w:r w:rsidRPr="003328B9">
              <w:rPr>
                <w:b/>
                <w:bCs/>
                <w:sz w:val="16"/>
              </w:rPr>
              <w:t>Students enrolled in degree</w:t>
            </w:r>
          </w:p>
        </w:tc>
        <w:tc>
          <w:tcPr>
            <w:tcW w:w="1170" w:type="dxa"/>
            <w:vAlign w:val="center"/>
          </w:tcPr>
          <w:p w14:paraId="3DCFB157" w14:textId="4FFEDEC4" w:rsidR="003328B9" w:rsidRPr="003328B9" w:rsidRDefault="003328B9" w:rsidP="003328B9">
            <w:pPr>
              <w:jc w:val="center"/>
              <w:rPr>
                <w:rFonts w:ascii="Calibri" w:eastAsiaTheme="minorHAnsi" w:hAnsi="Calibri"/>
                <w:b/>
                <w:bCs/>
                <w:sz w:val="16"/>
              </w:rPr>
            </w:pPr>
            <w:r w:rsidRPr="003328B9">
              <w:rPr>
                <w:b/>
                <w:bCs/>
                <w:sz w:val="16"/>
              </w:rPr>
              <w:t>Students graduated by Spring 20</w:t>
            </w:r>
            <w:r w:rsidR="00F16000">
              <w:rPr>
                <w:b/>
                <w:bCs/>
                <w:sz w:val="16"/>
              </w:rPr>
              <w:t>22</w:t>
            </w:r>
          </w:p>
        </w:tc>
        <w:tc>
          <w:tcPr>
            <w:tcW w:w="1154" w:type="dxa"/>
            <w:vAlign w:val="center"/>
          </w:tcPr>
          <w:p w14:paraId="63D31E76" w14:textId="77777777" w:rsidR="003328B9" w:rsidRPr="003328B9" w:rsidRDefault="003328B9" w:rsidP="003328B9">
            <w:pPr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3328B9">
              <w:rPr>
                <w:b/>
                <w:bCs/>
                <w:sz w:val="16"/>
              </w:rPr>
              <w:t>Percent who graduated</w:t>
            </w:r>
          </w:p>
        </w:tc>
      </w:tr>
      <w:tr w:rsidR="00DD5B42" w14:paraId="40CAA11B" w14:textId="77777777" w:rsidTr="003328B9">
        <w:trPr>
          <w:trHeight w:val="401"/>
        </w:trPr>
        <w:tc>
          <w:tcPr>
            <w:tcW w:w="4428" w:type="dxa"/>
            <w:vMerge/>
          </w:tcPr>
          <w:p w14:paraId="1E747AA0" w14:textId="77777777" w:rsidR="00DD5B42" w:rsidRDefault="00DD5B42" w:rsidP="00DD5B42"/>
        </w:tc>
        <w:tc>
          <w:tcPr>
            <w:tcW w:w="990" w:type="dxa"/>
            <w:vAlign w:val="center"/>
          </w:tcPr>
          <w:p w14:paraId="75910D29" w14:textId="5739CD8C" w:rsidR="00DD5B42" w:rsidRPr="003328B9" w:rsidRDefault="00DD5B42" w:rsidP="00DD5B42">
            <w:pPr>
              <w:jc w:val="center"/>
              <w:rPr>
                <w:rFonts w:ascii="Calibri" w:eastAsiaTheme="minorHAnsi" w:hAnsi="Calibri"/>
                <w:bCs/>
                <w:sz w:val="16"/>
              </w:rPr>
            </w:pPr>
            <w:r w:rsidRPr="003328B9">
              <w:rPr>
                <w:bCs/>
                <w:sz w:val="16"/>
              </w:rPr>
              <w:t>BA Start fall 201</w:t>
            </w:r>
            <w:r w:rsidR="00F16000">
              <w:rPr>
                <w:bCs/>
                <w:sz w:val="16"/>
              </w:rPr>
              <w:t>6</w:t>
            </w:r>
          </w:p>
        </w:tc>
        <w:tc>
          <w:tcPr>
            <w:tcW w:w="1080" w:type="dxa"/>
            <w:vAlign w:val="center"/>
          </w:tcPr>
          <w:p w14:paraId="58B2D135" w14:textId="5720653D" w:rsidR="00DD5B42" w:rsidRPr="003328B9" w:rsidRDefault="001A2010" w:rsidP="00DD5B42">
            <w:pPr>
              <w:jc w:val="center"/>
              <w:rPr>
                <w:rFonts w:ascii="Calibri" w:eastAsiaTheme="minorHAnsi" w:hAnsi="Calibri"/>
                <w:sz w:val="16"/>
              </w:rPr>
            </w:pPr>
            <w:r>
              <w:rPr>
                <w:rFonts w:ascii="Calibri" w:eastAsiaTheme="minorHAnsi" w:hAnsi="Calibri"/>
                <w:sz w:val="16"/>
              </w:rPr>
              <w:t>104</w:t>
            </w:r>
          </w:p>
        </w:tc>
        <w:tc>
          <w:tcPr>
            <w:tcW w:w="1170" w:type="dxa"/>
            <w:vAlign w:val="center"/>
          </w:tcPr>
          <w:p w14:paraId="5F10CD12" w14:textId="50DF42F2" w:rsidR="00DD5B42" w:rsidRPr="003328B9" w:rsidRDefault="001A2010" w:rsidP="00DD5B42">
            <w:pPr>
              <w:jc w:val="center"/>
              <w:rPr>
                <w:rFonts w:ascii="Calibri" w:eastAsiaTheme="minorHAnsi" w:hAnsi="Calibri"/>
                <w:sz w:val="16"/>
              </w:rPr>
            </w:pPr>
            <w:r>
              <w:rPr>
                <w:rFonts w:ascii="Calibri" w:eastAsiaTheme="minorHAnsi" w:hAnsi="Calibri"/>
                <w:sz w:val="16"/>
              </w:rPr>
              <w:t>38</w:t>
            </w:r>
          </w:p>
        </w:tc>
        <w:tc>
          <w:tcPr>
            <w:tcW w:w="1154" w:type="dxa"/>
            <w:vAlign w:val="center"/>
          </w:tcPr>
          <w:p w14:paraId="22981E2E" w14:textId="038D8EAD" w:rsidR="00DD5B42" w:rsidRPr="003328B9" w:rsidRDefault="001A2010" w:rsidP="00DD5B42">
            <w:pPr>
              <w:jc w:val="center"/>
              <w:rPr>
                <w:rFonts w:ascii="Calibri" w:eastAsiaTheme="minorHAnsi" w:hAnsi="Calibri"/>
                <w:bCs/>
                <w:sz w:val="16"/>
              </w:rPr>
            </w:pPr>
            <w:r>
              <w:rPr>
                <w:rFonts w:ascii="Calibri" w:eastAsiaTheme="minorHAnsi" w:hAnsi="Calibri"/>
                <w:bCs/>
                <w:sz w:val="16"/>
              </w:rPr>
              <w:t>37</w:t>
            </w:r>
            <w:r w:rsidR="00463170">
              <w:rPr>
                <w:rFonts w:ascii="Calibri" w:eastAsiaTheme="minorHAnsi" w:hAnsi="Calibri"/>
                <w:bCs/>
                <w:sz w:val="16"/>
              </w:rPr>
              <w:t>%</w:t>
            </w:r>
          </w:p>
        </w:tc>
      </w:tr>
      <w:tr w:rsidR="00DD5B42" w14:paraId="60D622E9" w14:textId="77777777" w:rsidTr="003328B9">
        <w:trPr>
          <w:trHeight w:val="401"/>
        </w:trPr>
        <w:tc>
          <w:tcPr>
            <w:tcW w:w="4428" w:type="dxa"/>
            <w:vMerge/>
          </w:tcPr>
          <w:p w14:paraId="38934CD8" w14:textId="77777777" w:rsidR="00DD5B42" w:rsidRDefault="00DD5B42" w:rsidP="00DD5B42"/>
        </w:tc>
        <w:tc>
          <w:tcPr>
            <w:tcW w:w="990" w:type="dxa"/>
            <w:vAlign w:val="center"/>
          </w:tcPr>
          <w:p w14:paraId="05F7D19D" w14:textId="1B817137" w:rsidR="00DD5B42" w:rsidRPr="003328B9" w:rsidRDefault="00DD5B42" w:rsidP="00DD5B42">
            <w:pPr>
              <w:jc w:val="center"/>
              <w:rPr>
                <w:rFonts w:ascii="Calibri" w:eastAsiaTheme="minorHAnsi" w:hAnsi="Calibri"/>
                <w:bCs/>
                <w:sz w:val="16"/>
              </w:rPr>
            </w:pPr>
            <w:r w:rsidRPr="003328B9">
              <w:rPr>
                <w:bCs/>
                <w:sz w:val="16"/>
              </w:rPr>
              <w:t>AA Starts fall 201</w:t>
            </w:r>
            <w:r w:rsidR="00F16000">
              <w:rPr>
                <w:bCs/>
                <w:sz w:val="16"/>
              </w:rPr>
              <w:t>9</w:t>
            </w:r>
          </w:p>
        </w:tc>
        <w:tc>
          <w:tcPr>
            <w:tcW w:w="1080" w:type="dxa"/>
            <w:vAlign w:val="center"/>
          </w:tcPr>
          <w:p w14:paraId="0F313108" w14:textId="5F6BF989" w:rsidR="00DD5B42" w:rsidRPr="003328B9" w:rsidRDefault="001A2010" w:rsidP="00DD5B42">
            <w:pPr>
              <w:jc w:val="center"/>
              <w:rPr>
                <w:rFonts w:ascii="Calibri" w:eastAsiaTheme="minorHAnsi" w:hAnsi="Calibri"/>
                <w:sz w:val="16"/>
              </w:rPr>
            </w:pPr>
            <w:r>
              <w:rPr>
                <w:rFonts w:ascii="Calibri" w:eastAsiaTheme="minorHAnsi" w:hAnsi="Calibri"/>
                <w:sz w:val="16"/>
              </w:rPr>
              <w:t>2</w:t>
            </w:r>
          </w:p>
        </w:tc>
        <w:tc>
          <w:tcPr>
            <w:tcW w:w="1170" w:type="dxa"/>
            <w:vAlign w:val="center"/>
          </w:tcPr>
          <w:p w14:paraId="6D32ADD6" w14:textId="597034DA" w:rsidR="00DD5B42" w:rsidRPr="003328B9" w:rsidRDefault="001A2010" w:rsidP="00DD5B42">
            <w:pPr>
              <w:jc w:val="center"/>
              <w:rPr>
                <w:rFonts w:ascii="Calibri" w:eastAsiaTheme="minorHAnsi" w:hAnsi="Calibri"/>
                <w:sz w:val="16"/>
              </w:rPr>
            </w:pPr>
            <w:r>
              <w:rPr>
                <w:rFonts w:ascii="Calibri" w:eastAsiaTheme="minorHAnsi" w:hAnsi="Calibri"/>
                <w:sz w:val="16"/>
              </w:rPr>
              <w:t>0</w:t>
            </w:r>
          </w:p>
        </w:tc>
        <w:tc>
          <w:tcPr>
            <w:tcW w:w="1154" w:type="dxa"/>
            <w:vAlign w:val="center"/>
          </w:tcPr>
          <w:p w14:paraId="4C43D1D8" w14:textId="1F2F45CC" w:rsidR="00DD5B42" w:rsidRPr="003328B9" w:rsidRDefault="001A2010" w:rsidP="00DD5B42">
            <w:pPr>
              <w:jc w:val="center"/>
              <w:rPr>
                <w:rFonts w:ascii="Calibri" w:eastAsiaTheme="minorHAnsi" w:hAnsi="Calibri"/>
                <w:bCs/>
                <w:sz w:val="16"/>
              </w:rPr>
            </w:pPr>
            <w:r>
              <w:rPr>
                <w:rFonts w:ascii="Calibri" w:eastAsiaTheme="minorHAnsi" w:hAnsi="Calibri"/>
                <w:bCs/>
                <w:sz w:val="16"/>
              </w:rPr>
              <w:t>0</w:t>
            </w:r>
            <w:r w:rsidR="00463170">
              <w:rPr>
                <w:rFonts w:ascii="Calibri" w:eastAsiaTheme="minorHAnsi" w:hAnsi="Calibri"/>
                <w:bCs/>
                <w:sz w:val="16"/>
              </w:rPr>
              <w:t>%</w:t>
            </w:r>
          </w:p>
        </w:tc>
      </w:tr>
      <w:tr w:rsidR="00DD5B42" w14:paraId="127FD805" w14:textId="77777777" w:rsidTr="003328B9">
        <w:trPr>
          <w:trHeight w:val="401"/>
        </w:trPr>
        <w:tc>
          <w:tcPr>
            <w:tcW w:w="4428" w:type="dxa"/>
            <w:vMerge/>
          </w:tcPr>
          <w:p w14:paraId="12061D83" w14:textId="77777777" w:rsidR="00DD5B42" w:rsidRDefault="00DD5B42" w:rsidP="00DD5B42"/>
        </w:tc>
        <w:tc>
          <w:tcPr>
            <w:tcW w:w="990" w:type="dxa"/>
            <w:vAlign w:val="center"/>
          </w:tcPr>
          <w:p w14:paraId="0FA6EE67" w14:textId="1E2A3F8A" w:rsidR="00DD5B42" w:rsidRPr="003328B9" w:rsidRDefault="00DD5B42" w:rsidP="00DD5B42">
            <w:pPr>
              <w:jc w:val="center"/>
              <w:rPr>
                <w:rFonts w:ascii="Calibri" w:eastAsiaTheme="minorHAnsi" w:hAnsi="Calibri"/>
                <w:bCs/>
                <w:sz w:val="16"/>
              </w:rPr>
            </w:pPr>
            <w:r w:rsidRPr="003328B9">
              <w:rPr>
                <w:bCs/>
                <w:sz w:val="16"/>
              </w:rPr>
              <w:t>CERT Spring 20</w:t>
            </w:r>
            <w:r w:rsidR="00F16000">
              <w:rPr>
                <w:bCs/>
                <w:sz w:val="16"/>
              </w:rPr>
              <w:t>21</w:t>
            </w:r>
          </w:p>
        </w:tc>
        <w:tc>
          <w:tcPr>
            <w:tcW w:w="1080" w:type="dxa"/>
            <w:vAlign w:val="center"/>
          </w:tcPr>
          <w:p w14:paraId="1214A7A8" w14:textId="1BE33C82" w:rsidR="00DD5B42" w:rsidRPr="003328B9" w:rsidRDefault="00F16000" w:rsidP="00DD5B42">
            <w:pPr>
              <w:jc w:val="center"/>
              <w:rPr>
                <w:rFonts w:ascii="Calibri" w:eastAsiaTheme="minorHAnsi" w:hAnsi="Calibri"/>
                <w:sz w:val="16"/>
              </w:rPr>
            </w:pPr>
            <w:r>
              <w:rPr>
                <w:rFonts w:ascii="Calibri" w:eastAsiaTheme="minorHAnsi" w:hAnsi="Calibri"/>
                <w:sz w:val="16"/>
              </w:rPr>
              <w:t>-</w:t>
            </w:r>
          </w:p>
        </w:tc>
        <w:tc>
          <w:tcPr>
            <w:tcW w:w="1170" w:type="dxa"/>
            <w:vAlign w:val="center"/>
          </w:tcPr>
          <w:p w14:paraId="3D70A163" w14:textId="67FA4596" w:rsidR="00DD5B42" w:rsidRPr="003328B9" w:rsidRDefault="00F16000" w:rsidP="00DD5B42">
            <w:pPr>
              <w:jc w:val="center"/>
              <w:rPr>
                <w:rFonts w:ascii="Calibri" w:eastAsiaTheme="minorHAnsi" w:hAnsi="Calibri"/>
                <w:sz w:val="16"/>
              </w:rPr>
            </w:pPr>
            <w:r>
              <w:rPr>
                <w:rFonts w:ascii="Calibri" w:eastAsiaTheme="minorHAnsi" w:hAnsi="Calibri"/>
                <w:sz w:val="16"/>
              </w:rPr>
              <w:t>-</w:t>
            </w:r>
          </w:p>
        </w:tc>
        <w:tc>
          <w:tcPr>
            <w:tcW w:w="1154" w:type="dxa"/>
            <w:vAlign w:val="center"/>
          </w:tcPr>
          <w:p w14:paraId="24EC2623" w14:textId="2C417CC7" w:rsidR="00DD5B42" w:rsidRPr="003328B9" w:rsidRDefault="00F16000" w:rsidP="00DD5B42">
            <w:pPr>
              <w:jc w:val="center"/>
              <w:rPr>
                <w:rFonts w:ascii="Calibri" w:eastAsiaTheme="minorHAnsi" w:hAnsi="Calibri"/>
                <w:bCs/>
                <w:sz w:val="16"/>
              </w:rPr>
            </w:pPr>
            <w:r>
              <w:rPr>
                <w:rFonts w:ascii="Calibri" w:eastAsiaTheme="minorHAnsi" w:hAnsi="Calibri"/>
                <w:bCs/>
                <w:sz w:val="16"/>
              </w:rPr>
              <w:t>-</w:t>
            </w:r>
          </w:p>
        </w:tc>
      </w:tr>
      <w:tr w:rsidR="00DD5B42" w14:paraId="1322C673" w14:textId="77777777" w:rsidTr="003328B9">
        <w:trPr>
          <w:trHeight w:val="401"/>
        </w:trPr>
        <w:tc>
          <w:tcPr>
            <w:tcW w:w="4428" w:type="dxa"/>
            <w:vMerge/>
          </w:tcPr>
          <w:p w14:paraId="4D8F0059" w14:textId="77777777" w:rsidR="00DD5B42" w:rsidRDefault="00DD5B42" w:rsidP="00DD5B42"/>
        </w:tc>
        <w:tc>
          <w:tcPr>
            <w:tcW w:w="990" w:type="dxa"/>
            <w:vAlign w:val="center"/>
          </w:tcPr>
          <w:p w14:paraId="020D2995" w14:textId="77777777" w:rsidR="00DD5B42" w:rsidRPr="003328B9" w:rsidRDefault="00DD5B42" w:rsidP="00DD5B42">
            <w:pPr>
              <w:jc w:val="center"/>
              <w:rPr>
                <w:rFonts w:ascii="Calibri" w:eastAsiaTheme="minorHAnsi" w:hAnsi="Calibri"/>
                <w:bCs/>
                <w:sz w:val="18"/>
              </w:rPr>
            </w:pPr>
            <w:r w:rsidRPr="003328B9">
              <w:rPr>
                <w:bCs/>
                <w:sz w:val="18"/>
              </w:rPr>
              <w:t>Totals</w:t>
            </w:r>
          </w:p>
        </w:tc>
        <w:tc>
          <w:tcPr>
            <w:tcW w:w="1080" w:type="dxa"/>
            <w:vAlign w:val="center"/>
          </w:tcPr>
          <w:p w14:paraId="4E00E509" w14:textId="4495E425" w:rsidR="00DD5B42" w:rsidRPr="003328B9" w:rsidRDefault="001A2010" w:rsidP="00DD5B42">
            <w:pPr>
              <w:jc w:val="center"/>
              <w:rPr>
                <w:rFonts w:ascii="Calibri" w:eastAsiaTheme="minorHAnsi" w:hAnsi="Calibri"/>
                <w:sz w:val="18"/>
              </w:rPr>
            </w:pPr>
            <w:r>
              <w:rPr>
                <w:rFonts w:ascii="Calibri" w:eastAsiaTheme="minorHAnsi" w:hAnsi="Calibri"/>
                <w:sz w:val="18"/>
              </w:rPr>
              <w:t>106</w:t>
            </w:r>
          </w:p>
        </w:tc>
        <w:tc>
          <w:tcPr>
            <w:tcW w:w="1170" w:type="dxa"/>
            <w:vAlign w:val="center"/>
          </w:tcPr>
          <w:p w14:paraId="135F750C" w14:textId="03D7AF94" w:rsidR="00DD5B42" w:rsidRPr="003328B9" w:rsidRDefault="001A2010" w:rsidP="00DD5B42">
            <w:pPr>
              <w:jc w:val="center"/>
              <w:rPr>
                <w:rFonts w:ascii="Calibri" w:eastAsiaTheme="minorHAnsi" w:hAnsi="Calibri"/>
                <w:sz w:val="18"/>
              </w:rPr>
            </w:pPr>
            <w:r>
              <w:rPr>
                <w:rFonts w:ascii="Calibri" w:eastAsiaTheme="minorHAnsi" w:hAnsi="Calibri"/>
                <w:sz w:val="18"/>
              </w:rPr>
              <w:t>38</w:t>
            </w:r>
          </w:p>
        </w:tc>
        <w:tc>
          <w:tcPr>
            <w:tcW w:w="1154" w:type="dxa"/>
            <w:vAlign w:val="center"/>
          </w:tcPr>
          <w:p w14:paraId="501A119E" w14:textId="7814A4C6" w:rsidR="00DD5B42" w:rsidRPr="003328B9" w:rsidRDefault="001A2010" w:rsidP="00DD5B42">
            <w:pPr>
              <w:jc w:val="center"/>
              <w:rPr>
                <w:rFonts w:ascii="Calibri" w:eastAsiaTheme="minorHAnsi" w:hAnsi="Calibri"/>
                <w:sz w:val="18"/>
              </w:rPr>
            </w:pPr>
            <w:r>
              <w:rPr>
                <w:rFonts w:ascii="Calibri" w:eastAsiaTheme="minorHAnsi" w:hAnsi="Calibri"/>
                <w:sz w:val="18"/>
              </w:rPr>
              <w:t>3</w:t>
            </w:r>
            <w:r w:rsidR="00463170">
              <w:rPr>
                <w:rFonts w:ascii="Calibri" w:eastAsiaTheme="minorHAnsi" w:hAnsi="Calibri"/>
                <w:sz w:val="18"/>
              </w:rPr>
              <w:t>6%</w:t>
            </w:r>
          </w:p>
        </w:tc>
      </w:tr>
    </w:tbl>
    <w:p w14:paraId="07C0B94B" w14:textId="6D00EF43" w:rsidR="00431C65" w:rsidRDefault="00431C65" w:rsidP="00431C65">
      <w:pPr>
        <w:spacing w:after="0"/>
      </w:pPr>
    </w:p>
    <w:p w14:paraId="07911611" w14:textId="77777777" w:rsidR="00431C65" w:rsidRDefault="00431C65" w:rsidP="00431C65">
      <w:pPr>
        <w:spacing w:after="0"/>
        <w:rPr>
          <w:lang w:eastAsia="ko-KR"/>
        </w:rPr>
      </w:pPr>
    </w:p>
    <w:sectPr w:rsidR="0043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5D2E"/>
    <w:multiLevelType w:val="hybridMultilevel"/>
    <w:tmpl w:val="36A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4E3C"/>
    <w:multiLevelType w:val="hybridMultilevel"/>
    <w:tmpl w:val="2316517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 w16cid:durableId="1103458710">
    <w:abstractNumId w:val="0"/>
  </w:num>
  <w:num w:numId="2" w16cid:durableId="158826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65"/>
    <w:rsid w:val="00002B0B"/>
    <w:rsid w:val="00046001"/>
    <w:rsid w:val="00120D7C"/>
    <w:rsid w:val="001850D0"/>
    <w:rsid w:val="001A2010"/>
    <w:rsid w:val="00214A8D"/>
    <w:rsid w:val="00214F52"/>
    <w:rsid w:val="003328B9"/>
    <w:rsid w:val="003B6D89"/>
    <w:rsid w:val="00431C65"/>
    <w:rsid w:val="00463170"/>
    <w:rsid w:val="00490027"/>
    <w:rsid w:val="004A7471"/>
    <w:rsid w:val="00501216"/>
    <w:rsid w:val="00651B5D"/>
    <w:rsid w:val="00692657"/>
    <w:rsid w:val="006E53A5"/>
    <w:rsid w:val="007C09E4"/>
    <w:rsid w:val="007D711D"/>
    <w:rsid w:val="008055BA"/>
    <w:rsid w:val="00815DA4"/>
    <w:rsid w:val="00826AB1"/>
    <w:rsid w:val="00871B0B"/>
    <w:rsid w:val="008928B5"/>
    <w:rsid w:val="00990E2C"/>
    <w:rsid w:val="00A033D2"/>
    <w:rsid w:val="00A068A9"/>
    <w:rsid w:val="00C158EF"/>
    <w:rsid w:val="00CD1AE4"/>
    <w:rsid w:val="00DD5B42"/>
    <w:rsid w:val="00E24A7F"/>
    <w:rsid w:val="00E77161"/>
    <w:rsid w:val="00EC77CB"/>
    <w:rsid w:val="00F14F25"/>
    <w:rsid w:val="00F16000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4CFB"/>
  <w15:docId w15:val="{0A23999A-2C74-4630-9B30-BC542ED9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65"/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31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31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C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31C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431C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431C6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31C6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C65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8055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International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Freire</dc:creator>
  <cp:lastModifiedBy>Anna Bergh</cp:lastModifiedBy>
  <cp:revision>6</cp:revision>
  <dcterms:created xsi:type="dcterms:W3CDTF">2022-09-26T19:34:00Z</dcterms:created>
  <dcterms:modified xsi:type="dcterms:W3CDTF">2022-09-26T20:32:00Z</dcterms:modified>
</cp:coreProperties>
</file>